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0e0e0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0e0e0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CULTURE ET SANTÉ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AUVERGNE-RHÔNE-ALPES </w:t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0e0e0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2"/>
          <w:szCs w:val="22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L’Agence régionale de santé, la Direction régionale des Affaires culturelles et, depuis 2006, la Région ex-Rhône-Alpes, aujourd’hui Auvergne-Rhône-Alpes, pilotent un dispositif public sur le thème de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Culture et Santé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Déclinaison régionale d’un programme national des ministères de la Santé et de la Culture initié en 1999, cette démarche se fonde sur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 partenariat privilégié entre un établissement de santé, une structure culturelle et une équipe artistique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qui construisent ensemble des projets relevant de l’ensemble des domaines artistiques, du patrimoine et des sciences sociales.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Ces projets ne s’inscrivent ni dans le secteur de l’animation ni dans le champ de l’art-thérapie ou de l’éducatif, prérogatives des établissements de santé, mais sont de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véritables projets artistiques et culturels, faisant intervenir des artistes professionnels. Ils travaillent tout particulièrement la notion du dedans-dehors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b w:val="0"/>
          <w:color w:val="8c1469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8c1469"/>
          <w:sz w:val="22"/>
          <w:szCs w:val="22"/>
          <w:vertAlign w:val="baseline"/>
          <w:rtl w:val="0"/>
        </w:rPr>
        <w:t xml:space="preserve">Le dispositif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Centré autour d’un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appel à projets annuel incitatif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à destination des structures hospitalières et médico-sociales d’une part, ainsi de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la contractualisation pluriannuelle d’établissements durablement engagés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d’autre part, le dispositif vise à inscrire de manière pérenne la préoccupation culturelle dans le secteur de la santé, tout en en privilégiant un ancrage territorial des actions. Celui-ci s’organise en 4 échelons :</w:t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Les porteurs de projets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au sein des établissements sanitaires et des structures culturelles partenaires</w:t>
      </w:r>
    </w:p>
    <w:p w:rsidR="00000000" w:rsidDel="00000000" w:rsidP="00000000" w:rsidRDefault="00000000" w:rsidRPr="00000000" w14:paraId="00000013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Des comités locaux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collectifs d’échanges, de réflexion et de production, rassemblant l’ensemble des acteurs impliqués dans la démarche à l’échelle des territoires</w:t>
      </w:r>
    </w:p>
    <w:p w:rsidR="00000000" w:rsidDel="00000000" w:rsidP="00000000" w:rsidRDefault="00000000" w:rsidRPr="00000000" w14:paraId="00000015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commission régionale </w:t>
      </w:r>
      <w:r w:rsidDel="00000000" w:rsidR="00000000" w:rsidRPr="00000000">
        <w:rPr>
          <w:b w:val="1"/>
          <w:i w:val="1"/>
          <w:sz w:val="22"/>
          <w:szCs w:val="22"/>
          <w:vertAlign w:val="baseline"/>
          <w:rtl w:val="0"/>
        </w:rPr>
        <w:t xml:space="preserve">Culture et Santé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instance de réflexion, de pilotage et de sélection des projets, permettant le lien entre l’échelon régional et départemental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Une structure mandatée pour coordonner et animer l’ensemble du dispositif, l’association interSTICES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structure de coopération régionale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Culture et Santé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existant depuis 2012.</w:t>
      </w:r>
    </w:p>
    <w:p w:rsidR="00000000" w:rsidDel="00000000" w:rsidP="00000000" w:rsidRDefault="00000000" w:rsidRPr="00000000" w14:paraId="00000019">
      <w:pPr>
        <w:jc w:val="both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b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CULTURE ET SANTÉ</w:t>
      </w:r>
      <w:r w:rsidDel="00000000" w:rsidR="00000000" w:rsidRPr="00000000">
        <w:rPr>
          <w:b w:val="1"/>
          <w:vertAlign w:val="baseline"/>
          <w:rtl w:val="0"/>
        </w:rPr>
        <w:t xml:space="preserve"> EN AUVERGNE-RHÔNE-ALPES : ce qu’il faut retenir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color w:val="8c1469"/>
          <w:sz w:val="22"/>
          <w:szCs w:val="22"/>
          <w:vertAlign w:val="baseline"/>
          <w:rtl w:val="0"/>
        </w:rPr>
        <w:t xml:space="preserve">Depuis 2001, plus d</w:t>
      </w:r>
      <w:r w:rsidDel="00000000" w:rsidR="00000000" w:rsidRPr="00000000">
        <w:rPr>
          <w:b w:val="1"/>
          <w:color w:val="8c1469"/>
          <w:sz w:val="22"/>
          <w:szCs w:val="22"/>
          <w:rtl w:val="0"/>
        </w:rPr>
        <w:t xml:space="preserve">e 728 projets ont été soutenus dans des </w:t>
      </w:r>
      <w:r w:rsidDel="00000000" w:rsidR="00000000" w:rsidRPr="00000000">
        <w:rPr>
          <w:b w:val="1"/>
          <w:color w:val="8c1469"/>
          <w:sz w:val="22"/>
          <w:szCs w:val="22"/>
          <w:vertAlign w:val="baseline"/>
          <w:rtl w:val="0"/>
        </w:rPr>
        <w:t xml:space="preserve">établissements hospitaliers et </w:t>
      </w:r>
      <w:r w:rsidDel="00000000" w:rsidR="00000000" w:rsidRPr="00000000">
        <w:rPr>
          <w:b w:val="1"/>
          <w:color w:val="8c1469"/>
          <w:sz w:val="22"/>
          <w:szCs w:val="22"/>
          <w:rtl w:val="0"/>
        </w:rPr>
        <w:t xml:space="preserve">158 dans des structures </w:t>
      </w:r>
      <w:r w:rsidDel="00000000" w:rsidR="00000000" w:rsidRPr="00000000">
        <w:rPr>
          <w:b w:val="1"/>
          <w:color w:val="8c1469"/>
          <w:sz w:val="22"/>
          <w:szCs w:val="22"/>
          <w:vertAlign w:val="baseline"/>
          <w:rtl w:val="0"/>
        </w:rPr>
        <w:t xml:space="preserve">médico-soc</w:t>
      </w:r>
      <w:r w:rsidDel="00000000" w:rsidR="00000000" w:rsidRPr="00000000">
        <w:rPr>
          <w:b w:val="1"/>
          <w:color w:val="8c1469"/>
          <w:sz w:val="22"/>
          <w:szCs w:val="22"/>
          <w:rtl w:val="0"/>
        </w:rPr>
        <w:t xml:space="preserve">iales associées à des structures culturelles partenaires de la région. Avec une moyenne de 90 projets chaque année, ce programme régional constitue désormais un réseau dynamique.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</w:t>
      </w:r>
      <w:r w:rsidDel="00000000" w:rsidR="00000000" w:rsidRPr="00000000">
        <w:rPr>
          <w:b w:val="1"/>
          <w:color w:val="6eb4b4"/>
          <w:sz w:val="22"/>
          <w:szCs w:val="22"/>
          <w:vertAlign w:val="baseline"/>
          <w:rtl w:val="0"/>
        </w:rPr>
        <w:t xml:space="preserve">Respect des droits fondamentaux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des personnes, parmi lesquels l’accès à la culture. </w:t>
      </w:r>
    </w:p>
    <w:p w:rsidR="00000000" w:rsidDel="00000000" w:rsidP="00000000" w:rsidRDefault="00000000" w:rsidRPr="00000000" w14:paraId="00000020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</w:t>
      </w:r>
      <w:r w:rsidDel="00000000" w:rsidR="00000000" w:rsidRPr="00000000">
        <w:rPr>
          <w:b w:val="1"/>
          <w:color w:val="6eb4b4"/>
          <w:sz w:val="22"/>
          <w:szCs w:val="22"/>
          <w:vertAlign w:val="baseline"/>
          <w:rtl w:val="0"/>
        </w:rPr>
        <w:t xml:space="preserve">Meilleure prise en charge ou accompagnement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prenant en compte la trajectoire globale de la personne.</w:t>
      </w:r>
    </w:p>
    <w:p w:rsidR="00000000" w:rsidDel="00000000" w:rsidP="00000000" w:rsidRDefault="00000000" w:rsidRPr="00000000" w14:paraId="00000022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</w:t>
      </w:r>
      <w:r w:rsidDel="00000000" w:rsidR="00000000" w:rsidRPr="00000000">
        <w:rPr>
          <w:b w:val="1"/>
          <w:color w:val="6eb4b4"/>
          <w:sz w:val="22"/>
          <w:szCs w:val="22"/>
          <w:rtl w:val="0"/>
        </w:rPr>
        <w:t xml:space="preserve">Émergence</w:t>
      </w:r>
      <w:r w:rsidDel="00000000" w:rsidR="00000000" w:rsidRPr="00000000">
        <w:rPr>
          <w:b w:val="1"/>
          <w:color w:val="6eb4b4"/>
          <w:sz w:val="22"/>
          <w:szCs w:val="22"/>
          <w:vertAlign w:val="baseline"/>
          <w:rtl w:val="0"/>
        </w:rPr>
        <w:t xml:space="preserve"> d’espaces de coopération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entre personnes, professionnels, soignants-soignés, personnels accompagnants-personnes accompagnées, services ou secteurs.</w:t>
      </w:r>
    </w:p>
    <w:p w:rsidR="00000000" w:rsidDel="00000000" w:rsidP="00000000" w:rsidRDefault="00000000" w:rsidRPr="00000000" w14:paraId="00000024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</w:t>
      </w:r>
      <w:r w:rsidDel="00000000" w:rsidR="00000000" w:rsidRPr="00000000">
        <w:rPr>
          <w:b w:val="1"/>
          <w:color w:val="6eb4b4"/>
          <w:sz w:val="22"/>
          <w:szCs w:val="22"/>
          <w:vertAlign w:val="baseline"/>
          <w:rtl w:val="0"/>
        </w:rPr>
        <w:t xml:space="preserve">Enrichissement de la création artistique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avec le renouvellement des pratiques, des espaces d’intervention et des modes de créations.</w:t>
      </w:r>
    </w:p>
    <w:p w:rsidR="00000000" w:rsidDel="00000000" w:rsidP="00000000" w:rsidRDefault="00000000" w:rsidRPr="00000000" w14:paraId="00000026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</w:t>
      </w:r>
      <w:r w:rsidDel="00000000" w:rsidR="00000000" w:rsidRPr="00000000">
        <w:rPr>
          <w:b w:val="1"/>
          <w:color w:val="6eb4b4"/>
          <w:sz w:val="22"/>
          <w:szCs w:val="22"/>
          <w:vertAlign w:val="baseline"/>
          <w:rtl w:val="0"/>
        </w:rPr>
        <w:t xml:space="preserve">Destigmatisation et modernisation sociale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des établissements de santé.</w:t>
      </w:r>
    </w:p>
    <w:p w:rsidR="00000000" w:rsidDel="00000000" w:rsidP="00000000" w:rsidRDefault="00000000" w:rsidRPr="00000000" w14:paraId="00000028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</w:t>
      </w:r>
      <w:r w:rsidDel="00000000" w:rsidR="00000000" w:rsidRPr="00000000">
        <w:rPr>
          <w:b w:val="1"/>
          <w:color w:val="6eb4b4"/>
          <w:sz w:val="22"/>
          <w:szCs w:val="22"/>
          <w:vertAlign w:val="baseline"/>
          <w:rtl w:val="0"/>
        </w:rPr>
        <w:t xml:space="preserve">Ouverture sur la Cité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*</w:t>
      </w:r>
      <w:r w:rsidDel="00000000" w:rsidR="00000000" w:rsidRPr="00000000">
        <w:rPr>
          <w:b w:val="1"/>
          <w:color w:val="6eb4b4"/>
          <w:sz w:val="22"/>
          <w:szCs w:val="22"/>
          <w:vertAlign w:val="baseline"/>
          <w:rtl w:val="0"/>
        </w:rPr>
        <w:t xml:space="preserve">Cohésion sociale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b w:val="0"/>
          <w:color w:val="8c1469"/>
          <w:sz w:val="22"/>
          <w:szCs w:val="22"/>
          <w:vertAlign w:val="baseline"/>
        </w:rPr>
      </w:pPr>
      <w:r w:rsidDel="00000000" w:rsidR="00000000" w:rsidRPr="00000000">
        <w:rPr>
          <w:b w:val="1"/>
          <w:color w:val="8c1469"/>
          <w:sz w:val="22"/>
          <w:szCs w:val="22"/>
          <w:vertAlign w:val="baseline"/>
          <w:rtl w:val="0"/>
        </w:rPr>
        <w:t xml:space="preserve">Ces effets inhérents à l’action culturelle en milieu de santé contribuent à repenser le soin, l’accompagnement des personnes en situation de handicap ou du grand âge dans une dimension plus humaine, à faire des établissements de santé des lieux vivants, à les inscrire pleinement dans la cité et à faire de la culture l’objet de tous.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right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Pour plus d’informations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right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righ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interSTICES </w:t>
      </w:r>
    </w:p>
    <w:p w:rsidR="00000000" w:rsidDel="00000000" w:rsidP="00000000" w:rsidRDefault="00000000" w:rsidRPr="00000000" w14:paraId="00000033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righ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Séverine Legrand, directrice, cheffe de projet </w:t>
      </w:r>
      <w:r w:rsidDel="00000000" w:rsidR="00000000" w:rsidRPr="00000000">
        <w:rPr>
          <w:i w:val="1"/>
          <w:color w:val="000000"/>
          <w:sz w:val="22"/>
          <w:szCs w:val="22"/>
          <w:vertAlign w:val="baseline"/>
          <w:rtl w:val="0"/>
        </w:rPr>
        <w:t xml:space="preserve">Culture et Santé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Auvergne-Rhône-Alpes</w:t>
      </w:r>
    </w:p>
    <w:p w:rsidR="00000000" w:rsidDel="00000000" w:rsidP="00000000" w:rsidRDefault="00000000" w:rsidRPr="00000000" w14:paraId="00000034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righ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o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u </w:t>
      </w:r>
      <w:r w:rsidDel="00000000" w:rsidR="00000000" w:rsidRPr="00000000">
        <w:rPr>
          <w:sz w:val="22"/>
          <w:szCs w:val="22"/>
          <w:rtl w:val="0"/>
        </w:rPr>
        <w:t xml:space="preserve">Sylvain.Riou</w:t>
      </w: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chargé de 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right"/>
        <w:rPr>
          <w:color w:val="000000"/>
          <w:sz w:val="22"/>
          <w:szCs w:val="22"/>
          <w:vertAlign w:val="baseline"/>
        </w:rPr>
      </w:pPr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04 81 92 56 27</w:t>
      </w:r>
    </w:p>
    <w:p w:rsidR="00000000" w:rsidDel="00000000" w:rsidP="00000000" w:rsidRDefault="00000000" w:rsidRPr="00000000" w14:paraId="00000036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right"/>
        <w:rPr>
          <w:color w:val="000000"/>
          <w:sz w:val="22"/>
          <w:szCs w:val="22"/>
          <w:vertAlign w:val="baseline"/>
        </w:rPr>
      </w:pPr>
      <w:hyperlink r:id="rId7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contact@interstices-auvergnerhonealpes.fr</w:t>
        </w:r>
      </w:hyperlink>
      <w:r w:rsidDel="00000000" w:rsidR="00000000" w:rsidRPr="00000000">
        <w:rPr>
          <w:color w:val="00000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Bdr>
          <w:top w:color="6eb4b4" w:space="1" w:sz="6" w:val="dashed"/>
          <w:left w:color="6eb4b4" w:space="4" w:sz="6" w:val="dashed"/>
          <w:bottom w:color="6eb4b4" w:space="1" w:sz="6" w:val="dashed"/>
          <w:right w:color="6eb4b4" w:space="4" w:sz="6" w:val="dashed"/>
        </w:pBdr>
        <w:jc w:val="right"/>
        <w:rPr>
          <w:color w:val="000000"/>
          <w:sz w:val="22"/>
          <w:szCs w:val="22"/>
          <w:vertAlign w:val="baseline"/>
        </w:rPr>
      </w:pPr>
      <w:hyperlink r:id="rId8">
        <w:r w:rsidDel="00000000" w:rsidR="00000000" w:rsidRPr="00000000">
          <w:rPr>
            <w:color w:val="0000ff"/>
            <w:sz w:val="22"/>
            <w:szCs w:val="22"/>
            <w:u w:val="single"/>
            <w:vertAlign w:val="baseline"/>
            <w:rtl w:val="0"/>
          </w:rPr>
          <w:t xml:space="preserve">http://www.interstices-auvergnerhonealpes.fr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footerReference r:id="rId11" w:type="even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tabs>
        <w:tab w:val="center" w:pos="4536"/>
        <w:tab w:val="right" w:pos="9072"/>
      </w:tabs>
      <w:jc w:val="right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Culture et Santé Auvergne-Rhône-Alpes</w:t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sur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center" w:pos="4536"/>
        <w:tab w:val="right" w:pos="9072"/>
      </w:tabs>
      <w:rPr>
        <w:vertAlign w:val="baseline"/>
      </w:rPr>
    </w:pPr>
    <w:r w:rsidDel="00000000" w:rsidR="00000000" w:rsidRPr="00000000">
      <w:rPr>
        <w:vertAlign w:val="baseline"/>
      </w:rPr>
      <w:drawing>
        <wp:inline distB="0" distT="0" distL="114300" distR="114300">
          <wp:extent cx="1438910" cy="542290"/>
          <wp:effectExtent b="0" l="0" r="0" t="0"/>
          <wp:docPr id="103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422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tabs>
        <w:tab w:val="center" w:pos="4536"/>
        <w:tab w:val="right" w:pos="9072"/>
      </w:tabs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170.0" w:type="dxa"/>
      <w:jc w:val="left"/>
      <w:tblInd w:w="145.0" w:type="dxa"/>
      <w:tblLayout w:type="fixed"/>
      <w:tblLook w:val="0000"/>
    </w:tblPr>
    <w:tblGrid>
      <w:gridCol w:w="3390"/>
      <w:gridCol w:w="3390"/>
      <w:gridCol w:w="3390"/>
      <w:tblGridChange w:id="0">
        <w:tblGrid>
          <w:gridCol w:w="3390"/>
          <w:gridCol w:w="3390"/>
          <w:gridCol w:w="3390"/>
        </w:tblGrid>
      </w:tblGridChange>
    </w:tblGrid>
    <w:tr>
      <w:trPr>
        <w:trHeight w:val="368" w:hRule="atLeast"/>
      </w:trPr>
      <w:tc>
        <w:tcPr>
          <w:vAlign w:val="center"/>
        </w:tcPr>
        <w:p w:rsidR="00000000" w:rsidDel="00000000" w:rsidP="00000000" w:rsidRDefault="00000000" w:rsidRPr="00000000" w14:paraId="0000003A">
          <w:pPr>
            <w:tabs>
              <w:tab w:val="center" w:pos="4536"/>
              <w:tab w:val="right" w:pos="9072"/>
            </w:tabs>
            <w:jc w:val="center"/>
            <w:rPr>
              <w:rFonts w:ascii="Times" w:cs="Times" w:eastAsia="Times" w:hAnsi="Times"/>
              <w:b w:val="0"/>
              <w:vertAlign w:val="baseline"/>
            </w:rPr>
          </w:pPr>
          <w:r w:rsidDel="00000000" w:rsidR="00000000" w:rsidRPr="00000000">
            <w:rPr>
              <w:vertAlign w:val="baseline"/>
            </w:rPr>
            <w:drawing>
              <wp:inline distB="0" distT="0" distL="114300" distR="114300">
                <wp:extent cx="1437640" cy="825500"/>
                <wp:effectExtent b="0" l="0" r="0" t="0"/>
                <wp:docPr id="1032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764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B">
          <w:pPr>
            <w:tabs>
              <w:tab w:val="left" w:pos="315"/>
              <w:tab w:val="left" w:pos="636"/>
              <w:tab w:val="center" w:pos="1534"/>
              <w:tab w:val="center" w:pos="4536"/>
              <w:tab w:val="right" w:pos="9072"/>
            </w:tabs>
            <w:rPr>
              <w:rFonts w:ascii="Times" w:cs="Times" w:eastAsia="Times" w:hAnsi="Times"/>
              <w:b w:val="0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vertAlign w:val="baseline"/>
              <w:rtl w:val="0"/>
            </w:rPr>
            <w:t xml:space="preserve">   </w:t>
          </w:r>
          <w:r w:rsidDel="00000000" w:rsidR="00000000" w:rsidRPr="00000000">
            <w:rPr>
              <w:rFonts w:ascii="Times" w:cs="Times" w:eastAsia="Times" w:hAnsi="Times"/>
              <w:b w:val="1"/>
            </w:rPr>
            <w:drawing>
              <wp:inline distB="114300" distT="114300" distL="114300" distR="114300">
                <wp:extent cx="1447121" cy="1501388"/>
                <wp:effectExtent b="0" l="0" r="0" t="0"/>
                <wp:docPr id="1030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121" cy="150138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imes" w:cs="Times" w:eastAsia="Times" w:hAnsi="Times"/>
              <w:b w:val="1"/>
              <w:vertAlign w:val="baseline"/>
              <w:rtl w:val="0"/>
            </w:rPr>
            <w:t xml:space="preserve">  </w:t>
            <w:tab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C">
          <w:pPr>
            <w:tabs>
              <w:tab w:val="center" w:pos="4536"/>
              <w:tab w:val="right" w:pos="9072"/>
            </w:tabs>
            <w:jc w:val="center"/>
            <w:rPr>
              <w:rFonts w:ascii="Times" w:cs="Times" w:eastAsia="Times" w:hAnsi="Times"/>
              <w:b w:val="0"/>
              <w:vertAlign w:val="baseline"/>
            </w:rPr>
          </w:pPr>
          <w:r w:rsidDel="00000000" w:rsidR="00000000" w:rsidRPr="00000000">
            <w:rPr>
              <w:rFonts w:ascii="Times" w:cs="Times" w:eastAsia="Times" w:hAnsi="Times"/>
              <w:b w:val="1"/>
              <w:vertAlign w:val="baseline"/>
            </w:rPr>
            <w:drawing>
              <wp:inline distB="0" distT="0" distL="114300" distR="114300">
                <wp:extent cx="1558290" cy="873125"/>
                <wp:effectExtent b="0" l="0" r="0" t="0"/>
                <wp:docPr id="103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8290" cy="873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6eb4b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Lien hypertexte"/>
    <w:next w:val="Lienhypertext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etraitcorpsdetexte3">
    <w:name w:val="Retrait corps de texte 3"/>
    <w:basedOn w:val="Normal"/>
    <w:next w:val="Retraitcorpsdetexte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character" w:styleId="Numérodepage">
    <w:name w:val="Numéro de page"/>
    <w:basedOn w:val="Policepardéfaut"/>
    <w:next w:val="Numérodepag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1TEXTE">
    <w:name w:val="1  TEXTE"/>
    <w:basedOn w:val="Normal"/>
    <w:next w:val="1TEXTE"/>
    <w:autoRedefine w:val="0"/>
    <w:hidden w:val="0"/>
    <w:qFormat w:val="0"/>
    <w:pPr>
      <w:suppressAutoHyphens w:val="1"/>
      <w:spacing w:line="320" w:lineRule="atLeast"/>
      <w:ind w:left="2552" w:leftChars="-1" w:rightChars="0" w:firstLineChars="-1"/>
      <w:textDirection w:val="btLr"/>
      <w:textAlignment w:val="top"/>
      <w:outlineLvl w:val="0"/>
    </w:pPr>
    <w:rPr>
      <w:w w:val="100"/>
      <w:position w:val="-1"/>
      <w:sz w:val="21"/>
      <w:szCs w:val="21"/>
      <w:effect w:val="none"/>
      <w:vertAlign w:val="baseline"/>
      <w:cs w:val="0"/>
      <w:em w:val="none"/>
      <w:lang w:bidi="ar-SA" w:eastAsia="fr-FR" w:val="fr-FR"/>
    </w:rPr>
  </w:style>
  <w:style w:type="paragraph" w:styleId="2INTERTITRE">
    <w:name w:val="2  INTERTITRE"/>
    <w:basedOn w:val="1TEXTE"/>
    <w:next w:val="2INTERTITRE"/>
    <w:autoRedefine w:val="0"/>
    <w:hidden w:val="0"/>
    <w:qFormat w:val="0"/>
    <w:pPr>
      <w:suppressAutoHyphens w:val="1"/>
      <w:spacing w:line="320" w:lineRule="atLeast"/>
      <w:ind w:left="0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1"/>
      <w:effect w:val="none"/>
      <w:vertAlign w:val="baseline"/>
      <w:cs w:val="0"/>
      <w:em w:val="none"/>
      <w:lang w:bidi="ar-SA" w:eastAsia="fr-FR" w:val="fr-FR"/>
    </w:rPr>
  </w:style>
  <w:style w:type="paragraph" w:styleId="4FRISE">
    <w:name w:val="4  FRISE"/>
    <w:basedOn w:val="Normal"/>
    <w:next w:val="4FRISE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character" w:styleId="1TEXTECar">
    <w:name w:val="1  TEXTE Car"/>
    <w:next w:val="1TEXTECar"/>
    <w:autoRedefine w:val="0"/>
    <w:hidden w:val="0"/>
    <w:qFormat w:val="0"/>
    <w:rPr>
      <w:w w:val="100"/>
      <w:position w:val="-1"/>
      <w:sz w:val="21"/>
      <w:szCs w:val="21"/>
      <w:effect w:val="none"/>
      <w:vertAlign w:val="baseline"/>
      <w:cs w:val="0"/>
      <w:em w:val="none"/>
      <w:lang w:bidi="ar-SA" w:eastAsia="fr-FR" w:val="fr-FR"/>
    </w:rPr>
  </w:style>
  <w:style w:type="paragraph" w:styleId="Notedebasdepage">
    <w:name w:val="Note de bas de page"/>
    <w:basedOn w:val="Normal"/>
    <w:next w:val="Notedebasdepag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character" w:styleId="Appelnotedebasdep.">
    <w:name w:val="Appel note de bas de p."/>
    <w:next w:val="Appelnotedebasdep.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tedefin">
    <w:name w:val="Note de fin"/>
    <w:basedOn w:val="Normal"/>
    <w:next w:val="Notedefin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character" w:styleId="Appeldenotedefin">
    <w:name w:val="Appel de note de fin"/>
    <w:next w:val="Appeldenotedefin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texteg1">
    <w:name w:val="texteg1"/>
    <w:next w:val="texteg1"/>
    <w:autoRedefine w:val="0"/>
    <w:hidden w:val="0"/>
    <w:qFormat w:val="0"/>
    <w:rPr>
      <w:rFonts w:ascii="Trebuchet MS" w:hAnsi="Trebuchet MS" w:hint="default"/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paragraph" w:styleId="Textebrut">
    <w:name w:val="Texte brut"/>
    <w:basedOn w:val="Normal"/>
    <w:next w:val="Textebru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Retraitcorpsdetexte2">
    <w:name w:val="Retrait corps de texte 2"/>
    <w:basedOn w:val="Normal"/>
    <w:next w:val="Retraitcorpsdetexte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3TITRE">
    <w:name w:val="3  TITRE"/>
    <w:basedOn w:val="1TEXTE"/>
    <w:next w:val="3TITRE"/>
    <w:autoRedefine w:val="0"/>
    <w:hidden w:val="0"/>
    <w:qFormat w:val="0"/>
    <w:pPr>
      <w:suppressAutoHyphens w:val="1"/>
      <w:spacing w:line="600" w:lineRule="atLeast"/>
      <w:ind w:left="2552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44"/>
      <w:szCs w:val="21"/>
      <w:effect w:val="none"/>
      <w:vertAlign w:val="baseline"/>
      <w:cs w:val="0"/>
      <w:em w:val="none"/>
      <w:lang w:bidi="ar-SA" w:eastAsia="fr-FR" w:val="fr-FR"/>
    </w:rPr>
  </w:style>
  <w:style w:type="paragraph" w:styleId="Signature">
    <w:name w:val="Signature"/>
    <w:basedOn w:val="Normal"/>
    <w:next w:val="Signatur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NewsGoth BT" w:hAnsi="NewsGoth BT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ieddepageCar">
    <w:name w:val="Pied de page Car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ntact@interstices-auvergnerhonealpes.fr" TargetMode="External"/><Relationship Id="rId8" Type="http://schemas.openxmlformats.org/officeDocument/2006/relationships/hyperlink" Target="http://www.interstices-auvergnerhonealpes.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4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hLh5qbbS4K2pZWa6s9BlhyCTrw==">AMUW2mW7Ua6PlwMqAojSydFJ6FjBUWjs/1767J6CdOdO/62FJXbFjSR+QOghQ3Zq4jIvx5bNrG95fjUmWFCOxHckbnwrVdq1j1ZDVuw6SPuXejGlmMrCS3M=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2018-09-24T09:25:00Z</dcterms:created>
  <dc:creator>A04419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